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32C" w:rsidRDefault="0055032C" w:rsidP="0055032C">
      <w:pPr>
        <w:jc w:val="center"/>
        <w:rPr>
          <w:rFonts w:ascii="方正小标宋简体" w:eastAsia="方正小标宋简体" w:hAnsi="微软雅黑"/>
          <w:color w:val="000000"/>
          <w:sz w:val="24"/>
          <w:szCs w:val="24"/>
        </w:rPr>
      </w:pPr>
      <w:r>
        <w:rPr>
          <w:rFonts w:ascii="方正小标宋简体" w:eastAsia="方正小标宋简体" w:hAnsi="微软雅黑" w:hint="eastAsia"/>
          <w:color w:val="000000"/>
          <w:sz w:val="24"/>
          <w:szCs w:val="24"/>
        </w:rPr>
        <w:t>2024年4月16日常熟高新技术产业开发区关于拟作出审批决定的环境影响评价文件公示</w:t>
      </w:r>
    </w:p>
    <w:p w:rsidR="0055032C" w:rsidRDefault="0055032C" w:rsidP="0055032C">
      <w:pPr>
        <w:ind w:firstLineChars="200" w:firstLine="480"/>
        <w:rPr>
          <w:rFonts w:ascii="仿宋_GB2312" w:eastAsia="仿宋_GB2312" w:hAnsi="微软雅黑" w:cs="宋体"/>
          <w:color w:val="000000"/>
          <w:kern w:val="0"/>
          <w:sz w:val="24"/>
          <w:szCs w:val="24"/>
        </w:rPr>
      </w:pPr>
      <w:r>
        <w:rPr>
          <w:rFonts w:ascii="仿宋_GB2312" w:eastAsia="仿宋_GB2312" w:hAnsi="微软雅黑" w:cs="宋体" w:hint="eastAsia"/>
          <w:color w:val="000000"/>
          <w:kern w:val="0"/>
          <w:sz w:val="24"/>
          <w:szCs w:val="24"/>
        </w:rPr>
        <w:t>根据建设项目环境影响评价审批程序的有关规定，我区拟对</w:t>
      </w:r>
      <w:r>
        <w:rPr>
          <w:rFonts w:ascii="仿宋_GB2312" w:eastAsia="仿宋_GB2312" w:hint="eastAsia"/>
          <w:sz w:val="24"/>
          <w:szCs w:val="24"/>
        </w:rPr>
        <w:t>以下</w:t>
      </w:r>
      <w:r>
        <w:rPr>
          <w:rFonts w:ascii="仿宋_GB2312" w:eastAsia="仿宋_GB2312" w:hAnsi="微软雅黑" w:cs="宋体" w:hint="eastAsia"/>
          <w:color w:val="000000"/>
          <w:kern w:val="0"/>
          <w:sz w:val="24"/>
          <w:szCs w:val="24"/>
        </w:rPr>
        <w:t>环境影响评价文件</w:t>
      </w:r>
      <w:proofErr w:type="gramStart"/>
      <w:r>
        <w:rPr>
          <w:rFonts w:ascii="仿宋_GB2312" w:eastAsia="仿宋_GB2312" w:hAnsi="微软雅黑" w:cs="宋体" w:hint="eastAsia"/>
          <w:color w:val="000000"/>
          <w:kern w:val="0"/>
          <w:sz w:val="24"/>
          <w:szCs w:val="24"/>
        </w:rPr>
        <w:t>作出</w:t>
      </w:r>
      <w:proofErr w:type="gramEnd"/>
      <w:r>
        <w:rPr>
          <w:rFonts w:ascii="仿宋_GB2312" w:eastAsia="仿宋_GB2312" w:hAnsi="微软雅黑" w:cs="宋体" w:hint="eastAsia"/>
          <w:color w:val="000000"/>
          <w:kern w:val="0"/>
          <w:sz w:val="24"/>
          <w:szCs w:val="24"/>
        </w:rPr>
        <w:t>审批决定。现将拟作出审批决定的环境影响评价文件基本情况予以公示，公示期为2024年4月16日－2024年4月</w:t>
      </w:r>
      <w:bookmarkStart w:id="0" w:name="_GoBack"/>
      <w:bookmarkEnd w:id="0"/>
      <w:r>
        <w:rPr>
          <w:rFonts w:ascii="仿宋_GB2312" w:eastAsia="仿宋_GB2312" w:hAnsi="微软雅黑" w:cs="宋体" w:hint="eastAsia"/>
          <w:color w:val="000000"/>
          <w:kern w:val="0"/>
          <w:sz w:val="24"/>
          <w:szCs w:val="24"/>
        </w:rPr>
        <w:t>22日（5个工作日）。</w:t>
      </w:r>
    </w:p>
    <w:p w:rsidR="0055032C" w:rsidRDefault="0055032C" w:rsidP="0055032C">
      <w:pPr>
        <w:widowControl/>
        <w:jc w:val="left"/>
        <w:rPr>
          <w:rFonts w:ascii="仿宋_GB2312" w:eastAsia="仿宋_GB2312" w:hAnsiTheme="minorEastAsia" w:cs="宋体"/>
          <w:color w:val="000000"/>
          <w:kern w:val="0"/>
          <w:sz w:val="24"/>
          <w:szCs w:val="24"/>
        </w:rPr>
      </w:pPr>
      <w:r>
        <w:rPr>
          <w:rFonts w:ascii="仿宋_GB2312" w:eastAsia="仿宋_GB2312" w:hAnsiTheme="minorEastAsia" w:cs="宋体" w:hint="eastAsia"/>
          <w:color w:val="000000"/>
          <w:kern w:val="0"/>
          <w:sz w:val="24"/>
          <w:szCs w:val="24"/>
        </w:rPr>
        <w:t xml:space="preserve">　　联系电话：0512-52990656</w:t>
      </w:r>
    </w:p>
    <w:p w:rsidR="0055032C" w:rsidRDefault="0055032C" w:rsidP="0055032C">
      <w:pPr>
        <w:widowControl/>
        <w:ind w:firstLineChars="200" w:firstLine="480"/>
        <w:jc w:val="left"/>
        <w:rPr>
          <w:rFonts w:ascii="仿宋_GB2312" w:eastAsia="仿宋_GB2312" w:hAnsiTheme="minorEastAsia" w:cs="宋体"/>
          <w:color w:val="000000"/>
          <w:kern w:val="0"/>
          <w:sz w:val="24"/>
          <w:szCs w:val="24"/>
          <w:u w:val="single"/>
        </w:rPr>
      </w:pPr>
      <w:proofErr w:type="gramStart"/>
      <w:r>
        <w:rPr>
          <w:rFonts w:ascii="仿宋_GB2312" w:eastAsia="仿宋_GB2312" w:hAnsiTheme="minorEastAsia" w:cs="宋体" w:hint="eastAsia"/>
          <w:color w:val="000000"/>
          <w:kern w:val="0"/>
          <w:sz w:val="24"/>
          <w:szCs w:val="24"/>
        </w:rPr>
        <w:t>邮</w:t>
      </w:r>
      <w:proofErr w:type="gramEnd"/>
      <w:r>
        <w:rPr>
          <w:rFonts w:ascii="仿宋_GB2312" w:eastAsia="仿宋_GB2312" w:hAnsiTheme="minorEastAsia" w:cs="宋体" w:hint="eastAsia"/>
          <w:color w:val="000000"/>
          <w:kern w:val="0"/>
          <w:sz w:val="24"/>
          <w:szCs w:val="24"/>
        </w:rPr>
        <w:t xml:space="preserve">    箱：xzsp@china-cnz.com</w:t>
      </w:r>
    </w:p>
    <w:p w:rsidR="0055032C" w:rsidRDefault="0055032C" w:rsidP="0055032C">
      <w:pPr>
        <w:widowControl/>
        <w:jc w:val="left"/>
        <w:rPr>
          <w:rFonts w:ascii="仿宋_GB2312" w:eastAsia="仿宋_GB2312" w:hAnsi="微软雅黑" w:cs="宋体"/>
          <w:color w:val="000000"/>
          <w:kern w:val="0"/>
          <w:sz w:val="24"/>
          <w:szCs w:val="24"/>
        </w:rPr>
      </w:pPr>
      <w:r>
        <w:rPr>
          <w:rFonts w:ascii="仿宋_GB2312" w:eastAsia="仿宋_GB2312" w:hAnsi="微软雅黑" w:cs="宋体" w:hint="eastAsia"/>
          <w:color w:val="000000"/>
          <w:kern w:val="0"/>
          <w:sz w:val="24"/>
          <w:szCs w:val="24"/>
        </w:rPr>
        <w:t xml:space="preserve">   听证权利告知：依据《中华人民共和国行政许可法》的相关规定，自公示起五日内申请人、利害关系人可提出听证申请。</w:t>
      </w:r>
    </w:p>
    <w:p w:rsidR="0055032C" w:rsidRDefault="0055032C" w:rsidP="0055032C">
      <w:pPr>
        <w:widowControl/>
        <w:jc w:val="center"/>
        <w:rPr>
          <w:rFonts w:ascii="仿宋_GB2312" w:eastAsia="仿宋_GB2312" w:hAnsi="微软雅黑" w:cs="宋体"/>
          <w:color w:val="000000"/>
          <w:kern w:val="0"/>
          <w:sz w:val="24"/>
          <w:szCs w:val="24"/>
        </w:rPr>
      </w:pPr>
      <w:r>
        <w:rPr>
          <w:rFonts w:ascii="仿宋_GB2312" w:eastAsia="仿宋_GB2312" w:hAnsi="微软雅黑" w:cs="宋体" w:hint="eastAsia"/>
          <w:b/>
          <w:bCs/>
          <w:color w:val="000000"/>
          <w:kern w:val="0"/>
          <w:sz w:val="24"/>
          <w:szCs w:val="24"/>
        </w:rPr>
        <w:t>拟批准的建设项目环境影响评价文件</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60"/>
        <w:gridCol w:w="1245"/>
        <w:gridCol w:w="709"/>
        <w:gridCol w:w="569"/>
        <w:gridCol w:w="1274"/>
        <w:gridCol w:w="1275"/>
        <w:gridCol w:w="3042"/>
        <w:gridCol w:w="787"/>
      </w:tblGrid>
      <w:tr w:rsidR="0055032C" w:rsidRPr="0055032C" w:rsidTr="002417F6">
        <w:trPr>
          <w:trHeight w:val="862"/>
          <w:jc w:val="center"/>
        </w:trPr>
        <w:tc>
          <w:tcPr>
            <w:tcW w:w="460" w:type="dxa"/>
            <w:vAlign w:val="center"/>
          </w:tcPr>
          <w:p w:rsidR="0055032C" w:rsidRPr="0055032C" w:rsidRDefault="0055032C" w:rsidP="002417F6">
            <w:pPr>
              <w:widowControl/>
              <w:jc w:val="center"/>
              <w:textAlignment w:val="center"/>
              <w:rPr>
                <w:rFonts w:asciiTheme="minorEastAsia" w:hAnsiTheme="minorEastAsia" w:cs="宋体"/>
                <w:b/>
                <w:bCs/>
                <w:color w:val="000000"/>
                <w:kern w:val="0"/>
                <w:sz w:val="22"/>
              </w:rPr>
            </w:pPr>
            <w:r w:rsidRPr="0055032C">
              <w:rPr>
                <w:rFonts w:asciiTheme="minorEastAsia" w:hAnsiTheme="minorEastAsia" w:cs="宋体" w:hint="eastAsia"/>
                <w:b/>
                <w:bCs/>
                <w:color w:val="000000"/>
                <w:kern w:val="0"/>
                <w:sz w:val="22"/>
              </w:rPr>
              <w:t>序号</w:t>
            </w:r>
          </w:p>
        </w:tc>
        <w:tc>
          <w:tcPr>
            <w:tcW w:w="1245" w:type="dxa"/>
            <w:tcMar>
              <w:top w:w="15" w:type="dxa"/>
              <w:left w:w="15" w:type="dxa"/>
              <w:bottom w:w="15" w:type="dxa"/>
              <w:right w:w="15" w:type="dxa"/>
            </w:tcMar>
            <w:vAlign w:val="center"/>
          </w:tcPr>
          <w:p w:rsidR="0055032C" w:rsidRPr="0055032C" w:rsidRDefault="0055032C" w:rsidP="002417F6">
            <w:pPr>
              <w:widowControl/>
              <w:jc w:val="center"/>
              <w:textAlignment w:val="center"/>
              <w:rPr>
                <w:rFonts w:asciiTheme="minorEastAsia" w:hAnsiTheme="minorEastAsia" w:cs="宋体"/>
                <w:b/>
                <w:bCs/>
                <w:color w:val="000000"/>
                <w:kern w:val="0"/>
                <w:sz w:val="22"/>
              </w:rPr>
            </w:pPr>
            <w:r w:rsidRPr="0055032C">
              <w:rPr>
                <w:rFonts w:asciiTheme="minorEastAsia" w:hAnsiTheme="minorEastAsia" w:cs="宋体" w:hint="eastAsia"/>
                <w:b/>
                <w:bCs/>
                <w:color w:val="000000"/>
                <w:kern w:val="0"/>
                <w:sz w:val="22"/>
              </w:rPr>
              <w:t>项目</w:t>
            </w:r>
            <w:r w:rsidRPr="0055032C">
              <w:rPr>
                <w:rFonts w:asciiTheme="minorEastAsia" w:hAnsiTheme="minorEastAsia" w:cs="宋体" w:hint="eastAsia"/>
                <w:b/>
                <w:bCs/>
                <w:color w:val="000000"/>
                <w:kern w:val="0"/>
                <w:sz w:val="22"/>
              </w:rPr>
              <w:br/>
              <w:t>名称</w:t>
            </w:r>
          </w:p>
        </w:tc>
        <w:tc>
          <w:tcPr>
            <w:tcW w:w="709" w:type="dxa"/>
            <w:tcMar>
              <w:top w:w="15" w:type="dxa"/>
              <w:left w:w="15" w:type="dxa"/>
              <w:bottom w:w="15" w:type="dxa"/>
              <w:right w:w="15" w:type="dxa"/>
            </w:tcMar>
            <w:vAlign w:val="center"/>
          </w:tcPr>
          <w:p w:rsidR="0055032C" w:rsidRPr="0055032C" w:rsidRDefault="0055032C" w:rsidP="002417F6">
            <w:pPr>
              <w:widowControl/>
              <w:jc w:val="center"/>
              <w:textAlignment w:val="center"/>
              <w:rPr>
                <w:rFonts w:asciiTheme="minorEastAsia" w:hAnsiTheme="minorEastAsia" w:cs="宋体"/>
                <w:kern w:val="0"/>
                <w:sz w:val="22"/>
              </w:rPr>
            </w:pPr>
            <w:r w:rsidRPr="0055032C">
              <w:rPr>
                <w:rFonts w:asciiTheme="minorEastAsia" w:hAnsiTheme="minorEastAsia" w:cs="宋体" w:hint="eastAsia"/>
                <w:b/>
                <w:bCs/>
                <w:color w:val="000000"/>
                <w:kern w:val="0"/>
                <w:sz w:val="22"/>
              </w:rPr>
              <w:t>建设</w:t>
            </w:r>
            <w:r w:rsidRPr="0055032C">
              <w:rPr>
                <w:rFonts w:asciiTheme="minorEastAsia" w:hAnsiTheme="minorEastAsia" w:cs="宋体" w:hint="eastAsia"/>
                <w:b/>
                <w:bCs/>
                <w:color w:val="000000"/>
                <w:kern w:val="0"/>
                <w:sz w:val="22"/>
              </w:rPr>
              <w:br/>
              <w:t>地点</w:t>
            </w:r>
          </w:p>
        </w:tc>
        <w:tc>
          <w:tcPr>
            <w:tcW w:w="569" w:type="dxa"/>
            <w:tcMar>
              <w:top w:w="15" w:type="dxa"/>
              <w:left w:w="15" w:type="dxa"/>
              <w:bottom w:w="15" w:type="dxa"/>
              <w:right w:w="15" w:type="dxa"/>
            </w:tcMar>
            <w:vAlign w:val="center"/>
          </w:tcPr>
          <w:p w:rsidR="0055032C" w:rsidRPr="0055032C" w:rsidRDefault="0055032C" w:rsidP="002417F6">
            <w:pPr>
              <w:widowControl/>
              <w:jc w:val="center"/>
              <w:textAlignment w:val="center"/>
              <w:rPr>
                <w:rFonts w:asciiTheme="minorEastAsia" w:hAnsiTheme="minorEastAsia" w:cs="宋体"/>
                <w:kern w:val="0"/>
                <w:sz w:val="22"/>
              </w:rPr>
            </w:pPr>
            <w:r w:rsidRPr="0055032C">
              <w:rPr>
                <w:rFonts w:asciiTheme="minorEastAsia" w:hAnsiTheme="minorEastAsia" w:cs="宋体" w:hint="eastAsia"/>
                <w:b/>
                <w:bCs/>
                <w:color w:val="000000"/>
                <w:kern w:val="0"/>
                <w:sz w:val="22"/>
              </w:rPr>
              <w:t>建设</w:t>
            </w:r>
            <w:r w:rsidRPr="0055032C">
              <w:rPr>
                <w:rFonts w:asciiTheme="minorEastAsia" w:hAnsiTheme="minorEastAsia" w:cs="宋体" w:hint="eastAsia"/>
                <w:b/>
                <w:bCs/>
                <w:color w:val="000000"/>
                <w:kern w:val="0"/>
                <w:sz w:val="22"/>
              </w:rPr>
              <w:br/>
              <w:t>单位</w:t>
            </w:r>
          </w:p>
        </w:tc>
        <w:tc>
          <w:tcPr>
            <w:tcW w:w="1274" w:type="dxa"/>
            <w:tcMar>
              <w:top w:w="15" w:type="dxa"/>
              <w:left w:w="15" w:type="dxa"/>
              <w:bottom w:w="15" w:type="dxa"/>
              <w:right w:w="15" w:type="dxa"/>
            </w:tcMar>
            <w:vAlign w:val="center"/>
          </w:tcPr>
          <w:p w:rsidR="0055032C" w:rsidRPr="0055032C" w:rsidRDefault="0055032C" w:rsidP="002417F6">
            <w:pPr>
              <w:widowControl/>
              <w:jc w:val="center"/>
              <w:textAlignment w:val="center"/>
              <w:rPr>
                <w:rFonts w:asciiTheme="minorEastAsia" w:hAnsiTheme="minorEastAsia" w:cs="宋体"/>
                <w:kern w:val="0"/>
                <w:sz w:val="22"/>
              </w:rPr>
            </w:pPr>
            <w:r w:rsidRPr="0055032C">
              <w:rPr>
                <w:rFonts w:asciiTheme="minorEastAsia" w:hAnsiTheme="minorEastAsia" w:cs="宋体" w:hint="eastAsia"/>
                <w:b/>
                <w:bCs/>
                <w:color w:val="000000"/>
                <w:kern w:val="0"/>
                <w:sz w:val="22"/>
              </w:rPr>
              <w:t>环境影响评价机构</w:t>
            </w:r>
          </w:p>
        </w:tc>
        <w:tc>
          <w:tcPr>
            <w:tcW w:w="1275" w:type="dxa"/>
            <w:tcMar>
              <w:top w:w="15" w:type="dxa"/>
              <w:left w:w="15" w:type="dxa"/>
              <w:bottom w:w="15" w:type="dxa"/>
              <w:right w:w="15" w:type="dxa"/>
            </w:tcMar>
            <w:vAlign w:val="center"/>
          </w:tcPr>
          <w:p w:rsidR="0055032C" w:rsidRPr="0055032C" w:rsidRDefault="0055032C" w:rsidP="002417F6">
            <w:pPr>
              <w:widowControl/>
              <w:jc w:val="center"/>
              <w:textAlignment w:val="center"/>
              <w:rPr>
                <w:rFonts w:asciiTheme="minorEastAsia" w:hAnsiTheme="minorEastAsia" w:cs="宋体"/>
                <w:kern w:val="0"/>
                <w:sz w:val="22"/>
              </w:rPr>
            </w:pPr>
            <w:r w:rsidRPr="0055032C">
              <w:rPr>
                <w:rFonts w:asciiTheme="minorEastAsia" w:hAnsiTheme="minorEastAsia" w:cs="宋体" w:hint="eastAsia"/>
                <w:b/>
                <w:bCs/>
                <w:color w:val="000000"/>
                <w:kern w:val="0"/>
                <w:sz w:val="22"/>
              </w:rPr>
              <w:t>项目概况</w:t>
            </w:r>
          </w:p>
        </w:tc>
        <w:tc>
          <w:tcPr>
            <w:tcW w:w="3042" w:type="dxa"/>
            <w:tcMar>
              <w:top w:w="15" w:type="dxa"/>
              <w:left w:w="15" w:type="dxa"/>
              <w:bottom w:w="15" w:type="dxa"/>
              <w:right w:w="15" w:type="dxa"/>
            </w:tcMar>
            <w:vAlign w:val="center"/>
          </w:tcPr>
          <w:p w:rsidR="0055032C" w:rsidRPr="0055032C" w:rsidRDefault="0055032C" w:rsidP="002417F6">
            <w:pPr>
              <w:widowControl/>
              <w:jc w:val="center"/>
              <w:textAlignment w:val="center"/>
              <w:rPr>
                <w:rFonts w:asciiTheme="minorEastAsia" w:hAnsiTheme="minorEastAsia" w:cs="宋体"/>
                <w:kern w:val="0"/>
                <w:sz w:val="22"/>
              </w:rPr>
            </w:pPr>
            <w:r w:rsidRPr="0055032C">
              <w:rPr>
                <w:rFonts w:asciiTheme="minorEastAsia" w:hAnsiTheme="minorEastAsia" w:cs="宋体" w:hint="eastAsia"/>
                <w:b/>
                <w:bCs/>
                <w:color w:val="000000"/>
                <w:kern w:val="0"/>
                <w:sz w:val="22"/>
              </w:rPr>
              <w:t>主要环境影响及预防或者减轻不良环境影响的对策和措施</w:t>
            </w:r>
          </w:p>
        </w:tc>
        <w:tc>
          <w:tcPr>
            <w:tcW w:w="787" w:type="dxa"/>
            <w:vAlign w:val="center"/>
          </w:tcPr>
          <w:p w:rsidR="0055032C" w:rsidRPr="0055032C" w:rsidRDefault="0055032C" w:rsidP="002417F6">
            <w:pPr>
              <w:widowControl/>
              <w:jc w:val="center"/>
              <w:textAlignment w:val="center"/>
              <w:rPr>
                <w:rFonts w:asciiTheme="minorEastAsia" w:hAnsiTheme="minorEastAsia" w:cs="宋体"/>
                <w:b/>
                <w:bCs/>
                <w:color w:val="000000"/>
                <w:kern w:val="0"/>
                <w:sz w:val="22"/>
              </w:rPr>
            </w:pPr>
            <w:r w:rsidRPr="0055032C">
              <w:rPr>
                <w:rFonts w:asciiTheme="minorEastAsia" w:hAnsiTheme="minorEastAsia" w:cs="宋体" w:hint="eastAsia"/>
                <w:b/>
                <w:bCs/>
                <w:color w:val="000000"/>
                <w:kern w:val="0"/>
                <w:sz w:val="22"/>
              </w:rPr>
              <w:t>公众参与情况</w:t>
            </w:r>
          </w:p>
        </w:tc>
      </w:tr>
      <w:tr w:rsidR="0055032C" w:rsidRPr="0055032C" w:rsidTr="002417F6">
        <w:trPr>
          <w:trHeight w:val="898"/>
          <w:jc w:val="center"/>
        </w:trPr>
        <w:tc>
          <w:tcPr>
            <w:tcW w:w="460" w:type="dxa"/>
            <w:vAlign w:val="center"/>
          </w:tcPr>
          <w:p w:rsidR="0055032C" w:rsidRPr="0055032C" w:rsidRDefault="0055032C" w:rsidP="002417F6">
            <w:pPr>
              <w:widowControl/>
              <w:jc w:val="center"/>
              <w:textAlignment w:val="center"/>
              <w:rPr>
                <w:rFonts w:asciiTheme="minorEastAsia" w:hAnsiTheme="minorEastAsia" w:cs="宋体"/>
                <w:bCs/>
                <w:color w:val="000000"/>
                <w:kern w:val="0"/>
                <w:sz w:val="22"/>
              </w:rPr>
            </w:pPr>
            <w:r w:rsidRPr="0055032C">
              <w:rPr>
                <w:rFonts w:asciiTheme="minorEastAsia" w:hAnsiTheme="minorEastAsia" w:cs="宋体" w:hint="eastAsia"/>
                <w:bCs/>
                <w:color w:val="000000"/>
                <w:kern w:val="0"/>
                <w:sz w:val="22"/>
              </w:rPr>
              <w:t>1</w:t>
            </w:r>
          </w:p>
        </w:tc>
        <w:tc>
          <w:tcPr>
            <w:tcW w:w="1245" w:type="dxa"/>
            <w:tcMar>
              <w:top w:w="15" w:type="dxa"/>
              <w:left w:w="15" w:type="dxa"/>
              <w:bottom w:w="15" w:type="dxa"/>
              <w:right w:w="15" w:type="dxa"/>
            </w:tcMar>
            <w:vAlign w:val="center"/>
          </w:tcPr>
          <w:p w:rsidR="0055032C" w:rsidRPr="0055032C" w:rsidRDefault="0055032C" w:rsidP="002417F6">
            <w:pPr>
              <w:jc w:val="center"/>
              <w:rPr>
                <w:rFonts w:asciiTheme="minorEastAsia" w:hAnsiTheme="minorEastAsia" w:cs="宋体"/>
                <w:color w:val="000000"/>
                <w:sz w:val="22"/>
              </w:rPr>
            </w:pPr>
            <w:r w:rsidRPr="0055032C">
              <w:rPr>
                <w:rFonts w:asciiTheme="minorEastAsia" w:hAnsiTheme="minorEastAsia" w:hint="eastAsia"/>
                <w:color w:val="000000"/>
                <w:sz w:val="22"/>
              </w:rPr>
              <w:t>2022工厂自动化投资技术改造项目</w:t>
            </w:r>
          </w:p>
        </w:tc>
        <w:tc>
          <w:tcPr>
            <w:tcW w:w="709" w:type="dxa"/>
            <w:tcMar>
              <w:top w:w="15" w:type="dxa"/>
              <w:left w:w="15" w:type="dxa"/>
              <w:bottom w:w="15" w:type="dxa"/>
              <w:right w:w="15" w:type="dxa"/>
            </w:tcMar>
            <w:vAlign w:val="center"/>
          </w:tcPr>
          <w:p w:rsidR="0055032C" w:rsidRPr="0055032C" w:rsidRDefault="0055032C" w:rsidP="002417F6">
            <w:pPr>
              <w:jc w:val="center"/>
              <w:rPr>
                <w:rFonts w:asciiTheme="minorEastAsia" w:hAnsiTheme="minorEastAsia" w:cs="宋体"/>
                <w:color w:val="000000"/>
                <w:sz w:val="22"/>
              </w:rPr>
            </w:pPr>
            <w:r w:rsidRPr="0055032C">
              <w:rPr>
                <w:rFonts w:asciiTheme="minorEastAsia" w:hAnsiTheme="minorEastAsia" w:cs="宋体" w:hint="eastAsia"/>
                <w:color w:val="000000"/>
                <w:sz w:val="22"/>
              </w:rPr>
              <w:t>常熟市高新技术产业开发区黄浦江路鑫杭工业坊7号厂房</w:t>
            </w:r>
          </w:p>
        </w:tc>
        <w:tc>
          <w:tcPr>
            <w:tcW w:w="569" w:type="dxa"/>
            <w:tcMar>
              <w:top w:w="15" w:type="dxa"/>
              <w:left w:w="15" w:type="dxa"/>
              <w:bottom w:w="15" w:type="dxa"/>
              <w:right w:w="15" w:type="dxa"/>
            </w:tcMar>
            <w:vAlign w:val="center"/>
          </w:tcPr>
          <w:p w:rsidR="0055032C" w:rsidRPr="0055032C" w:rsidRDefault="0055032C" w:rsidP="002417F6">
            <w:pPr>
              <w:jc w:val="center"/>
              <w:rPr>
                <w:rFonts w:asciiTheme="minorEastAsia" w:hAnsiTheme="minorEastAsia" w:cs="宋体"/>
                <w:color w:val="000000"/>
                <w:sz w:val="22"/>
              </w:rPr>
            </w:pPr>
            <w:proofErr w:type="gramStart"/>
            <w:r w:rsidRPr="0055032C">
              <w:rPr>
                <w:rFonts w:asciiTheme="minorEastAsia" w:hAnsiTheme="minorEastAsia" w:hint="eastAsia"/>
                <w:color w:val="000000"/>
                <w:sz w:val="22"/>
              </w:rPr>
              <w:t>捷鹏威</w:t>
            </w:r>
            <w:proofErr w:type="gramEnd"/>
            <w:r w:rsidRPr="0055032C">
              <w:rPr>
                <w:rFonts w:asciiTheme="minorEastAsia" w:hAnsiTheme="minorEastAsia" w:hint="eastAsia"/>
                <w:color w:val="000000"/>
                <w:sz w:val="22"/>
              </w:rPr>
              <w:t>电子（苏州）有限公司</w:t>
            </w:r>
          </w:p>
        </w:tc>
        <w:tc>
          <w:tcPr>
            <w:tcW w:w="1274" w:type="dxa"/>
            <w:tcMar>
              <w:top w:w="15" w:type="dxa"/>
              <w:left w:w="15" w:type="dxa"/>
              <w:bottom w:w="15" w:type="dxa"/>
              <w:right w:w="15" w:type="dxa"/>
            </w:tcMar>
            <w:vAlign w:val="center"/>
          </w:tcPr>
          <w:p w:rsidR="0055032C" w:rsidRPr="0055032C" w:rsidRDefault="0055032C" w:rsidP="002417F6">
            <w:pPr>
              <w:jc w:val="center"/>
              <w:rPr>
                <w:rFonts w:asciiTheme="minorEastAsia" w:hAnsiTheme="minorEastAsia"/>
                <w:sz w:val="22"/>
              </w:rPr>
            </w:pPr>
            <w:r w:rsidRPr="0055032C">
              <w:rPr>
                <w:rFonts w:asciiTheme="minorEastAsia" w:hAnsiTheme="minorEastAsia" w:hint="eastAsia"/>
                <w:sz w:val="22"/>
              </w:rPr>
              <w:t>苏州安杰源环境科技有限公司</w:t>
            </w:r>
          </w:p>
        </w:tc>
        <w:tc>
          <w:tcPr>
            <w:tcW w:w="1275" w:type="dxa"/>
            <w:tcMar>
              <w:top w:w="15" w:type="dxa"/>
              <w:left w:w="15" w:type="dxa"/>
              <w:bottom w:w="15" w:type="dxa"/>
              <w:right w:w="15" w:type="dxa"/>
            </w:tcMar>
            <w:vAlign w:val="center"/>
          </w:tcPr>
          <w:p w:rsidR="0055032C" w:rsidRPr="0055032C" w:rsidRDefault="0055032C" w:rsidP="002417F6">
            <w:pPr>
              <w:widowControl/>
              <w:jc w:val="center"/>
              <w:textAlignment w:val="center"/>
              <w:rPr>
                <w:rFonts w:asciiTheme="minorEastAsia" w:hAnsiTheme="minorEastAsia" w:cs="宋体"/>
                <w:kern w:val="0"/>
                <w:sz w:val="22"/>
              </w:rPr>
            </w:pPr>
            <w:r w:rsidRPr="0055032C">
              <w:rPr>
                <w:rFonts w:asciiTheme="minorEastAsia" w:hAnsiTheme="minorEastAsia" w:cs="Times New Roman" w:hint="eastAsia"/>
                <w:sz w:val="22"/>
              </w:rPr>
              <w:t>购置自动水洗线1套，改进水洗工艺，项目完成年水洗印刷电路板组件及其功能模块约1万件</w:t>
            </w:r>
          </w:p>
        </w:tc>
        <w:tc>
          <w:tcPr>
            <w:tcW w:w="3042" w:type="dxa"/>
            <w:tcMar>
              <w:top w:w="15" w:type="dxa"/>
              <w:left w:w="15" w:type="dxa"/>
              <w:bottom w:w="15" w:type="dxa"/>
              <w:right w:w="15" w:type="dxa"/>
            </w:tcMar>
            <w:vAlign w:val="center"/>
          </w:tcPr>
          <w:p w:rsidR="0055032C" w:rsidRPr="0055032C" w:rsidRDefault="0055032C" w:rsidP="002417F6">
            <w:pPr>
              <w:widowControl/>
              <w:textAlignment w:val="center"/>
              <w:rPr>
                <w:rFonts w:asciiTheme="minorEastAsia" w:hAnsiTheme="minorEastAsia" w:cs="Times New Roman" w:hint="eastAsia"/>
                <w:sz w:val="22"/>
              </w:rPr>
            </w:pPr>
            <w:r w:rsidRPr="0055032C">
              <w:rPr>
                <w:rFonts w:asciiTheme="minorEastAsia" w:hAnsiTheme="minorEastAsia" w:cs="宋体" w:hint="eastAsia"/>
                <w:kern w:val="0"/>
                <w:sz w:val="22"/>
              </w:rPr>
              <w:t>按“雨污分流、清污分流”的原则建设厂区排水管网，</w:t>
            </w:r>
            <w:r w:rsidRPr="0055032C">
              <w:rPr>
                <w:rFonts w:asciiTheme="minorEastAsia" w:hAnsiTheme="minorEastAsia" w:cs="Times New Roman" w:hint="eastAsia"/>
                <w:sz w:val="22"/>
              </w:rPr>
              <w:t>本项目不得有</w:t>
            </w:r>
            <w:r w:rsidRPr="0055032C">
              <w:rPr>
                <w:rFonts w:asciiTheme="minorEastAsia" w:hAnsiTheme="minorEastAsia" w:hint="eastAsia"/>
                <w:sz w:val="22"/>
              </w:rPr>
              <w:t>新增生活污水</w:t>
            </w:r>
            <w:r w:rsidRPr="0055032C">
              <w:rPr>
                <w:rFonts w:asciiTheme="minorEastAsia" w:hAnsiTheme="minorEastAsia"/>
                <w:sz w:val="22"/>
              </w:rPr>
              <w:t>排放</w:t>
            </w:r>
            <w:r w:rsidRPr="0055032C">
              <w:rPr>
                <w:rFonts w:asciiTheme="minorEastAsia" w:hAnsiTheme="minorEastAsia" w:hint="eastAsia"/>
                <w:sz w:val="22"/>
              </w:rPr>
              <w:t>，纯水制备浓水</w:t>
            </w:r>
            <w:r w:rsidRPr="0055032C">
              <w:rPr>
                <w:rFonts w:asciiTheme="minorEastAsia" w:hAnsiTheme="minorEastAsia" w:cs="Times New Roman"/>
                <w:sz w:val="22"/>
              </w:rPr>
              <w:t>接管至</w:t>
            </w:r>
            <w:r w:rsidRPr="0055032C">
              <w:rPr>
                <w:rFonts w:asciiTheme="minorEastAsia" w:hAnsiTheme="minorEastAsia" w:cs="Times New Roman" w:hint="eastAsia"/>
                <w:sz w:val="22"/>
              </w:rPr>
              <w:t>江苏中法水务股份有限公司（城东水质净化厂）</w:t>
            </w:r>
            <w:r w:rsidRPr="0055032C">
              <w:rPr>
                <w:rFonts w:asciiTheme="minorEastAsia" w:hAnsiTheme="minorEastAsia" w:cs="Times New Roman"/>
                <w:sz w:val="22"/>
              </w:rPr>
              <w:t>集中处理。</w:t>
            </w:r>
            <w:r w:rsidRPr="0055032C">
              <w:rPr>
                <w:rFonts w:asciiTheme="minorEastAsia" w:hAnsiTheme="minorEastAsia" w:cs="宋体" w:hint="eastAsia"/>
                <w:kern w:val="0"/>
                <w:sz w:val="22"/>
              </w:rPr>
              <w:cr/>
            </w:r>
            <w:r w:rsidRPr="0055032C">
              <w:rPr>
                <w:rFonts w:asciiTheme="minorEastAsia" w:hAnsiTheme="minorEastAsia" w:cs="Times New Roman"/>
                <w:sz w:val="22"/>
              </w:rPr>
              <w:t>本项目</w:t>
            </w:r>
            <w:r w:rsidRPr="0055032C">
              <w:rPr>
                <w:rFonts w:asciiTheme="minorEastAsia" w:hAnsiTheme="minorEastAsia" w:cs="Times New Roman" w:hint="eastAsia"/>
                <w:sz w:val="22"/>
              </w:rPr>
              <w:t>清洗废气经密闭管道收集+二级活性炭吸附装置处理后通过17m高5#排气筒排放。非甲烷总烃排放执行《大气污染物综合排放标准》（DB32/4041-2021）表 1、表2、表3标准。</w:t>
            </w:r>
            <w:r w:rsidRPr="0055032C">
              <w:rPr>
                <w:rFonts w:asciiTheme="minorEastAsia" w:hAnsiTheme="minorEastAsia" w:cs="Times New Roman"/>
                <w:sz w:val="22"/>
              </w:rPr>
              <w:t>加强生产管理，减少大气污染物无组织排放。</w:t>
            </w:r>
          </w:p>
          <w:p w:rsidR="0055032C" w:rsidRPr="0055032C" w:rsidRDefault="0055032C" w:rsidP="002417F6">
            <w:pPr>
              <w:widowControl/>
              <w:textAlignment w:val="center"/>
              <w:rPr>
                <w:rFonts w:asciiTheme="minorEastAsia" w:hAnsiTheme="minorEastAsia" w:cs="宋体"/>
                <w:kern w:val="0"/>
                <w:sz w:val="22"/>
              </w:rPr>
            </w:pPr>
            <w:r w:rsidRPr="0055032C">
              <w:rPr>
                <w:rFonts w:asciiTheme="minorEastAsia" w:hAnsiTheme="minorEastAsia" w:cs="宋体" w:hint="eastAsia"/>
                <w:kern w:val="0"/>
                <w:sz w:val="22"/>
              </w:rPr>
              <w:t>噪声：合理布局，选用低噪音设备，采取有效消声、隔声、防振措施，确保厂界噪声达《工业企业厂界环境噪声排放标准》（GB12348-2008）3类标准。</w:t>
            </w:r>
          </w:p>
          <w:p w:rsidR="0055032C" w:rsidRPr="0055032C" w:rsidRDefault="0055032C" w:rsidP="002417F6">
            <w:pPr>
              <w:widowControl/>
              <w:textAlignment w:val="center"/>
              <w:rPr>
                <w:rFonts w:asciiTheme="minorEastAsia" w:hAnsiTheme="minorEastAsia" w:cs="宋体"/>
                <w:kern w:val="0"/>
                <w:sz w:val="22"/>
              </w:rPr>
            </w:pPr>
            <w:r w:rsidRPr="0055032C">
              <w:rPr>
                <w:rFonts w:asciiTheme="minorEastAsia" w:hAnsiTheme="minorEastAsia" w:cs="宋体" w:hint="eastAsia"/>
                <w:kern w:val="0"/>
                <w:sz w:val="22"/>
              </w:rPr>
              <w:t>本项目以厂界设置100米卫生防护距离的要求。</w:t>
            </w:r>
          </w:p>
          <w:p w:rsidR="0055032C" w:rsidRPr="0055032C" w:rsidRDefault="0055032C" w:rsidP="002417F6">
            <w:pPr>
              <w:widowControl/>
              <w:textAlignment w:val="center"/>
              <w:rPr>
                <w:rFonts w:asciiTheme="minorEastAsia" w:hAnsiTheme="minorEastAsia" w:cs="宋体"/>
                <w:kern w:val="0"/>
                <w:sz w:val="22"/>
              </w:rPr>
            </w:pPr>
            <w:r w:rsidRPr="0055032C">
              <w:rPr>
                <w:rFonts w:asciiTheme="minorEastAsia" w:hAnsiTheme="minorEastAsia" w:cs="宋体" w:hint="eastAsia"/>
                <w:kern w:val="0"/>
                <w:sz w:val="22"/>
              </w:rPr>
              <w:t>固废：严格按照《危险废物贮存污染控制标准》（GB18597-2023）要求规范建设危险废物贮存场所，</w:t>
            </w:r>
            <w:r w:rsidRPr="0055032C">
              <w:rPr>
                <w:rFonts w:asciiTheme="minorEastAsia" w:hAnsiTheme="minorEastAsia" w:cs="Times New Roman" w:hint="eastAsia"/>
                <w:sz w:val="22"/>
              </w:rPr>
              <w:t>废包装材料、清洗废液、</w:t>
            </w:r>
            <w:proofErr w:type="gramStart"/>
            <w:r w:rsidRPr="0055032C">
              <w:rPr>
                <w:rFonts w:asciiTheme="minorEastAsia" w:hAnsiTheme="minorEastAsia" w:cs="Times New Roman" w:hint="eastAsia"/>
                <w:sz w:val="22"/>
              </w:rPr>
              <w:t>废滤罐</w:t>
            </w:r>
            <w:proofErr w:type="gramEnd"/>
            <w:r w:rsidRPr="0055032C">
              <w:rPr>
                <w:rFonts w:asciiTheme="minorEastAsia" w:hAnsiTheme="minorEastAsia" w:cs="Times New Roman" w:hint="eastAsia"/>
                <w:sz w:val="22"/>
              </w:rPr>
              <w:t>、废活性炭</w:t>
            </w:r>
            <w:r w:rsidRPr="0055032C">
              <w:rPr>
                <w:rFonts w:asciiTheme="minorEastAsia" w:hAnsiTheme="minorEastAsia" w:cs="宋体" w:hint="eastAsia"/>
                <w:kern w:val="0"/>
                <w:sz w:val="22"/>
              </w:rPr>
              <w:t>等各类危险废物应委托有资质单位处置，并执行危险废物转移审批手续。妥善处置或综合利用其它各类一般工</w:t>
            </w:r>
            <w:r w:rsidRPr="0055032C">
              <w:rPr>
                <w:rFonts w:asciiTheme="minorEastAsia" w:hAnsiTheme="minorEastAsia" w:cs="宋体" w:hint="eastAsia"/>
                <w:kern w:val="0"/>
                <w:sz w:val="22"/>
              </w:rPr>
              <w:lastRenderedPageBreak/>
              <w:t>业固体废弃物，固体废弃物零排放。</w:t>
            </w:r>
          </w:p>
        </w:tc>
        <w:tc>
          <w:tcPr>
            <w:tcW w:w="787" w:type="dxa"/>
            <w:vAlign w:val="center"/>
          </w:tcPr>
          <w:p w:rsidR="0055032C" w:rsidRPr="0055032C" w:rsidRDefault="0055032C" w:rsidP="002417F6">
            <w:pPr>
              <w:widowControl/>
              <w:jc w:val="left"/>
              <w:textAlignment w:val="center"/>
              <w:rPr>
                <w:rFonts w:asciiTheme="minorEastAsia" w:hAnsiTheme="minorEastAsia" w:cs="宋体"/>
                <w:bCs/>
                <w:color w:val="000000"/>
                <w:kern w:val="0"/>
                <w:sz w:val="22"/>
              </w:rPr>
            </w:pPr>
          </w:p>
        </w:tc>
      </w:tr>
      <w:tr w:rsidR="0055032C" w:rsidRPr="0055032C" w:rsidTr="002417F6">
        <w:trPr>
          <w:trHeight w:val="898"/>
          <w:jc w:val="center"/>
        </w:trPr>
        <w:tc>
          <w:tcPr>
            <w:tcW w:w="460" w:type="dxa"/>
            <w:vAlign w:val="center"/>
          </w:tcPr>
          <w:p w:rsidR="0055032C" w:rsidRPr="0055032C" w:rsidRDefault="0055032C" w:rsidP="002417F6">
            <w:pPr>
              <w:widowControl/>
              <w:jc w:val="center"/>
              <w:textAlignment w:val="center"/>
              <w:rPr>
                <w:rFonts w:asciiTheme="minorEastAsia" w:hAnsiTheme="minorEastAsia" w:cs="宋体"/>
                <w:bCs/>
                <w:color w:val="000000"/>
                <w:kern w:val="0"/>
                <w:sz w:val="22"/>
              </w:rPr>
            </w:pPr>
            <w:r w:rsidRPr="0055032C">
              <w:rPr>
                <w:rFonts w:asciiTheme="minorEastAsia" w:hAnsiTheme="minorEastAsia" w:cs="宋体" w:hint="eastAsia"/>
                <w:bCs/>
                <w:color w:val="000000"/>
                <w:kern w:val="0"/>
                <w:sz w:val="22"/>
              </w:rPr>
              <w:lastRenderedPageBreak/>
              <w:t>2</w:t>
            </w:r>
          </w:p>
        </w:tc>
        <w:tc>
          <w:tcPr>
            <w:tcW w:w="1245" w:type="dxa"/>
            <w:tcMar>
              <w:top w:w="15" w:type="dxa"/>
              <w:left w:w="15" w:type="dxa"/>
              <w:bottom w:w="15" w:type="dxa"/>
              <w:right w:w="15" w:type="dxa"/>
            </w:tcMar>
            <w:vAlign w:val="center"/>
          </w:tcPr>
          <w:p w:rsidR="0055032C" w:rsidRPr="0055032C" w:rsidRDefault="0055032C" w:rsidP="002417F6">
            <w:pPr>
              <w:jc w:val="center"/>
              <w:rPr>
                <w:rFonts w:asciiTheme="minorEastAsia" w:hAnsiTheme="minorEastAsia" w:cs="宋体"/>
                <w:color w:val="000000"/>
                <w:sz w:val="22"/>
              </w:rPr>
            </w:pPr>
            <w:r w:rsidRPr="0055032C">
              <w:rPr>
                <w:rFonts w:asciiTheme="minorEastAsia" w:hAnsiTheme="minorEastAsia" w:hint="eastAsia"/>
                <w:color w:val="000000"/>
                <w:sz w:val="22"/>
              </w:rPr>
              <w:t>新建汽车零部件制造加工项目</w:t>
            </w:r>
          </w:p>
        </w:tc>
        <w:tc>
          <w:tcPr>
            <w:tcW w:w="709" w:type="dxa"/>
            <w:tcMar>
              <w:top w:w="15" w:type="dxa"/>
              <w:left w:w="15" w:type="dxa"/>
              <w:bottom w:w="15" w:type="dxa"/>
              <w:right w:w="15" w:type="dxa"/>
            </w:tcMar>
            <w:vAlign w:val="center"/>
          </w:tcPr>
          <w:p w:rsidR="0055032C" w:rsidRPr="0055032C" w:rsidRDefault="0055032C" w:rsidP="002417F6">
            <w:pPr>
              <w:jc w:val="center"/>
              <w:rPr>
                <w:rFonts w:asciiTheme="minorEastAsia" w:hAnsiTheme="minorEastAsia" w:cs="宋体"/>
                <w:color w:val="000000"/>
                <w:sz w:val="22"/>
              </w:rPr>
            </w:pPr>
            <w:r w:rsidRPr="0055032C">
              <w:rPr>
                <w:rFonts w:asciiTheme="minorEastAsia" w:hAnsiTheme="minorEastAsia" w:cs="宋体" w:hint="eastAsia"/>
                <w:color w:val="000000"/>
                <w:sz w:val="22"/>
              </w:rPr>
              <w:t>常熟市沙家浜镇</w:t>
            </w:r>
            <w:proofErr w:type="gramStart"/>
            <w:r w:rsidRPr="0055032C">
              <w:rPr>
                <w:rFonts w:asciiTheme="minorEastAsia" w:hAnsiTheme="minorEastAsia" w:cs="宋体" w:hint="eastAsia"/>
                <w:color w:val="000000"/>
                <w:sz w:val="22"/>
              </w:rPr>
              <w:t>常昆工业</w:t>
            </w:r>
            <w:proofErr w:type="gramEnd"/>
            <w:r w:rsidRPr="0055032C">
              <w:rPr>
                <w:rFonts w:asciiTheme="minorEastAsia" w:hAnsiTheme="minorEastAsia" w:cs="宋体" w:hint="eastAsia"/>
                <w:color w:val="000000"/>
                <w:sz w:val="22"/>
              </w:rPr>
              <w:t>园E区中天东路7号</w:t>
            </w:r>
          </w:p>
        </w:tc>
        <w:tc>
          <w:tcPr>
            <w:tcW w:w="569" w:type="dxa"/>
            <w:tcMar>
              <w:top w:w="15" w:type="dxa"/>
              <w:left w:w="15" w:type="dxa"/>
              <w:bottom w:w="15" w:type="dxa"/>
              <w:right w:w="15" w:type="dxa"/>
            </w:tcMar>
            <w:vAlign w:val="center"/>
          </w:tcPr>
          <w:p w:rsidR="0055032C" w:rsidRPr="0055032C" w:rsidRDefault="0055032C" w:rsidP="002417F6">
            <w:pPr>
              <w:rPr>
                <w:rFonts w:asciiTheme="minorEastAsia" w:hAnsiTheme="minorEastAsia" w:cs="宋体"/>
                <w:color w:val="000000"/>
                <w:sz w:val="22"/>
              </w:rPr>
            </w:pPr>
            <w:proofErr w:type="gramStart"/>
            <w:r w:rsidRPr="0055032C">
              <w:rPr>
                <w:rFonts w:asciiTheme="minorEastAsia" w:hAnsiTheme="minorEastAsia" w:hint="eastAsia"/>
                <w:color w:val="000000"/>
                <w:sz w:val="22"/>
              </w:rPr>
              <w:t>常熟天羽汽车</w:t>
            </w:r>
            <w:proofErr w:type="gramEnd"/>
            <w:r w:rsidRPr="0055032C">
              <w:rPr>
                <w:rFonts w:asciiTheme="minorEastAsia" w:hAnsiTheme="minorEastAsia" w:hint="eastAsia"/>
                <w:color w:val="000000"/>
                <w:sz w:val="22"/>
              </w:rPr>
              <w:t>饰件有限公司</w:t>
            </w:r>
          </w:p>
        </w:tc>
        <w:tc>
          <w:tcPr>
            <w:tcW w:w="1274" w:type="dxa"/>
            <w:tcMar>
              <w:top w:w="15" w:type="dxa"/>
              <w:left w:w="15" w:type="dxa"/>
              <w:bottom w:w="15" w:type="dxa"/>
              <w:right w:w="15" w:type="dxa"/>
            </w:tcMar>
            <w:vAlign w:val="center"/>
          </w:tcPr>
          <w:p w:rsidR="0055032C" w:rsidRPr="0055032C" w:rsidRDefault="0055032C" w:rsidP="002417F6">
            <w:pPr>
              <w:jc w:val="center"/>
              <w:rPr>
                <w:rFonts w:asciiTheme="minorEastAsia" w:hAnsiTheme="minorEastAsia" w:cs="宋体"/>
                <w:color w:val="000000"/>
                <w:sz w:val="22"/>
              </w:rPr>
            </w:pPr>
            <w:r w:rsidRPr="0055032C">
              <w:rPr>
                <w:rFonts w:asciiTheme="minorEastAsia" w:hAnsiTheme="minorEastAsia" w:hint="eastAsia"/>
                <w:color w:val="000000"/>
                <w:sz w:val="22"/>
              </w:rPr>
              <w:t>新建汽车零部件制造加工项目</w:t>
            </w:r>
          </w:p>
        </w:tc>
        <w:tc>
          <w:tcPr>
            <w:tcW w:w="1275" w:type="dxa"/>
            <w:tcMar>
              <w:top w:w="15" w:type="dxa"/>
              <w:left w:w="15" w:type="dxa"/>
              <w:bottom w:w="15" w:type="dxa"/>
              <w:right w:w="15" w:type="dxa"/>
            </w:tcMar>
            <w:vAlign w:val="center"/>
          </w:tcPr>
          <w:p w:rsidR="0055032C" w:rsidRPr="0055032C" w:rsidRDefault="0055032C" w:rsidP="002417F6">
            <w:pPr>
              <w:widowControl/>
              <w:jc w:val="center"/>
              <w:textAlignment w:val="center"/>
              <w:rPr>
                <w:rFonts w:asciiTheme="minorEastAsia" w:hAnsiTheme="minorEastAsia" w:cs="宋体"/>
                <w:color w:val="000000"/>
                <w:kern w:val="0"/>
                <w:sz w:val="22"/>
              </w:rPr>
            </w:pPr>
            <w:r w:rsidRPr="0055032C">
              <w:rPr>
                <w:rFonts w:asciiTheme="minorEastAsia" w:hAnsiTheme="minorEastAsia" w:cs="Times New Roman"/>
                <w:sz w:val="22"/>
              </w:rPr>
              <w:t>年产汽车零部件500万件</w:t>
            </w:r>
          </w:p>
        </w:tc>
        <w:tc>
          <w:tcPr>
            <w:tcW w:w="3042" w:type="dxa"/>
            <w:tcMar>
              <w:top w:w="15" w:type="dxa"/>
              <w:left w:w="15" w:type="dxa"/>
              <w:bottom w:w="15" w:type="dxa"/>
              <w:right w:w="15" w:type="dxa"/>
            </w:tcMar>
            <w:vAlign w:val="center"/>
          </w:tcPr>
          <w:p w:rsidR="0055032C" w:rsidRPr="0055032C" w:rsidRDefault="0055032C" w:rsidP="002417F6">
            <w:pPr>
              <w:widowControl/>
              <w:textAlignment w:val="center"/>
              <w:rPr>
                <w:rFonts w:asciiTheme="minorEastAsia" w:hAnsiTheme="minorEastAsia" w:cs="宋体"/>
                <w:kern w:val="0"/>
                <w:sz w:val="22"/>
              </w:rPr>
            </w:pPr>
            <w:r w:rsidRPr="0055032C">
              <w:rPr>
                <w:rFonts w:asciiTheme="minorEastAsia" w:hAnsiTheme="minorEastAsia" w:cs="宋体" w:hint="eastAsia"/>
                <w:kern w:val="0"/>
                <w:sz w:val="22"/>
              </w:rPr>
              <w:t>按“雨污分流、清污分流”的原则建设厂区排水管网，</w:t>
            </w:r>
            <w:r w:rsidRPr="0055032C">
              <w:rPr>
                <w:rFonts w:asciiTheme="minorEastAsia" w:hAnsiTheme="minorEastAsia" w:cs="Times New Roman"/>
                <w:sz w:val="22"/>
              </w:rPr>
              <w:t>本项目不得有生产废水排放</w:t>
            </w:r>
            <w:r w:rsidRPr="0055032C">
              <w:rPr>
                <w:rFonts w:asciiTheme="minorEastAsia" w:hAnsiTheme="minorEastAsia" w:cs="Times New Roman" w:hint="eastAsia"/>
                <w:sz w:val="22"/>
              </w:rPr>
              <w:t>, 冷却塔用水循环使用不外排、水帘柜废水、气旋塔废水经“混凝+絮凝沉淀”处理后分别回用至水帘喷漆柜用水、气旋塔用水，不外排</w:t>
            </w:r>
            <w:r w:rsidRPr="0055032C">
              <w:rPr>
                <w:rFonts w:asciiTheme="minorEastAsia" w:hAnsiTheme="minorEastAsia" w:cs="Times New Roman"/>
                <w:sz w:val="22"/>
              </w:rPr>
              <w:t>；</w:t>
            </w:r>
            <w:r w:rsidRPr="0055032C">
              <w:rPr>
                <w:rFonts w:asciiTheme="minorEastAsia" w:hAnsiTheme="minorEastAsia" w:cs="Times New Roman" w:hint="eastAsia"/>
                <w:sz w:val="22"/>
              </w:rPr>
              <w:t>生活污水暂委托常熟市沙家浜镇环境卫生管理所清运处理，待厂区内污水管网接入市政管网后，接管至江苏中法水务股份有限公司（城东水质净化厂）</w:t>
            </w:r>
            <w:r w:rsidRPr="0055032C">
              <w:rPr>
                <w:rFonts w:asciiTheme="minorEastAsia" w:hAnsiTheme="minorEastAsia" w:cs="Times New Roman"/>
                <w:sz w:val="22"/>
              </w:rPr>
              <w:t>集中处理。</w:t>
            </w:r>
          </w:p>
          <w:p w:rsidR="0055032C" w:rsidRDefault="0055032C" w:rsidP="002417F6">
            <w:pPr>
              <w:widowControl/>
              <w:textAlignment w:val="center"/>
              <w:rPr>
                <w:rFonts w:asciiTheme="minorEastAsia" w:hAnsiTheme="minorEastAsia" w:cs="Times New Roman" w:hint="eastAsia"/>
                <w:sz w:val="22"/>
              </w:rPr>
            </w:pPr>
            <w:r w:rsidRPr="0055032C">
              <w:rPr>
                <w:rFonts w:asciiTheme="minorEastAsia" w:hAnsiTheme="minorEastAsia" w:cs="宋体" w:hint="eastAsia"/>
                <w:kern w:val="0"/>
                <w:sz w:val="22"/>
              </w:rPr>
              <w:t>本项目能源用电，不得设置燃煤炉（窑）。</w:t>
            </w:r>
            <w:r w:rsidRPr="0055032C">
              <w:rPr>
                <w:rFonts w:asciiTheme="minorEastAsia" w:hAnsiTheme="minorEastAsia" w:cs="Times New Roman"/>
                <w:sz w:val="22"/>
              </w:rPr>
              <w:t>本项目</w:t>
            </w:r>
            <w:r w:rsidRPr="0055032C">
              <w:rPr>
                <w:rFonts w:asciiTheme="minorEastAsia" w:hAnsiTheme="minorEastAsia" w:cs="Times New Roman" w:hint="eastAsia"/>
                <w:sz w:val="22"/>
              </w:rPr>
              <w:t>注塑废气</w:t>
            </w:r>
            <w:r w:rsidRPr="0055032C">
              <w:rPr>
                <w:rFonts w:asciiTheme="minorEastAsia" w:hAnsiTheme="minorEastAsia" w:cs="Times New Roman"/>
                <w:sz w:val="22"/>
              </w:rPr>
              <w:t>经</w:t>
            </w:r>
            <w:r w:rsidRPr="0055032C">
              <w:rPr>
                <w:rFonts w:asciiTheme="minorEastAsia" w:hAnsiTheme="minorEastAsia" w:cs="Times New Roman" w:hint="eastAsia"/>
                <w:sz w:val="22"/>
              </w:rPr>
              <w:t>集气罩</w:t>
            </w:r>
            <w:r w:rsidRPr="0055032C">
              <w:rPr>
                <w:rFonts w:asciiTheme="minorEastAsia" w:hAnsiTheme="minorEastAsia" w:cs="Times New Roman"/>
                <w:sz w:val="22"/>
              </w:rPr>
              <w:t>收集</w:t>
            </w:r>
            <w:r w:rsidRPr="0055032C">
              <w:rPr>
                <w:rFonts w:asciiTheme="minorEastAsia" w:hAnsiTheme="minorEastAsia" w:cs="Times New Roman" w:hint="eastAsia"/>
                <w:sz w:val="22"/>
              </w:rPr>
              <w:t>+二</w:t>
            </w:r>
            <w:r w:rsidRPr="0055032C">
              <w:rPr>
                <w:rFonts w:asciiTheme="minorEastAsia" w:hAnsiTheme="minorEastAsia" w:cs="Times New Roman"/>
                <w:sz w:val="22"/>
              </w:rPr>
              <w:t>级活性炭吸附</w:t>
            </w:r>
            <w:r w:rsidRPr="0055032C">
              <w:rPr>
                <w:rFonts w:asciiTheme="minorEastAsia" w:hAnsiTheme="minorEastAsia" w:cs="Times New Roman" w:hint="eastAsia"/>
                <w:sz w:val="22"/>
              </w:rPr>
              <w:t>装置（TA001）</w:t>
            </w:r>
            <w:r w:rsidRPr="0055032C">
              <w:rPr>
                <w:rFonts w:asciiTheme="minorEastAsia" w:hAnsiTheme="minorEastAsia" w:cs="Times New Roman"/>
                <w:sz w:val="22"/>
              </w:rPr>
              <w:t>处理</w:t>
            </w:r>
            <w:r w:rsidRPr="0055032C">
              <w:rPr>
                <w:rFonts w:asciiTheme="minorEastAsia" w:hAnsiTheme="minorEastAsia" w:cs="Times New Roman" w:hint="eastAsia"/>
                <w:sz w:val="22"/>
              </w:rPr>
              <w:t>后，</w:t>
            </w:r>
            <w:r w:rsidRPr="0055032C">
              <w:rPr>
                <w:rFonts w:asciiTheme="minorEastAsia" w:hAnsiTheme="minorEastAsia" w:cs="Times New Roman"/>
                <w:sz w:val="22"/>
              </w:rPr>
              <w:t>通过</w:t>
            </w:r>
            <w:r w:rsidRPr="0055032C">
              <w:rPr>
                <w:rFonts w:asciiTheme="minorEastAsia" w:hAnsiTheme="minorEastAsia" w:cs="Times New Roman" w:hint="eastAsia"/>
                <w:sz w:val="22"/>
              </w:rPr>
              <w:t>25m</w:t>
            </w:r>
            <w:r w:rsidRPr="0055032C">
              <w:rPr>
                <w:rFonts w:asciiTheme="minorEastAsia" w:hAnsiTheme="minorEastAsia" w:cs="Times New Roman"/>
                <w:sz w:val="22"/>
              </w:rPr>
              <w:t>排气筒</w:t>
            </w:r>
            <w:r w:rsidRPr="0055032C">
              <w:rPr>
                <w:rFonts w:asciiTheme="minorEastAsia" w:hAnsiTheme="minorEastAsia" w:cs="Times New Roman" w:hint="eastAsia"/>
                <w:sz w:val="22"/>
              </w:rPr>
              <w:t>（DA001）</w:t>
            </w:r>
            <w:r w:rsidRPr="0055032C">
              <w:rPr>
                <w:rFonts w:asciiTheme="minorEastAsia" w:hAnsiTheme="minorEastAsia" w:cs="Times New Roman"/>
                <w:sz w:val="22"/>
              </w:rPr>
              <w:t>排放</w:t>
            </w:r>
            <w:r w:rsidRPr="0055032C">
              <w:rPr>
                <w:rFonts w:asciiTheme="minorEastAsia" w:hAnsiTheme="minorEastAsia" w:cs="Times New Roman" w:hint="eastAsia"/>
                <w:sz w:val="22"/>
              </w:rPr>
              <w:t>；</w:t>
            </w:r>
            <w:r w:rsidRPr="0055032C">
              <w:rPr>
                <w:rFonts w:asciiTheme="minorEastAsia" w:hAnsiTheme="minorEastAsia" w:cs="Times New Roman"/>
                <w:sz w:val="22"/>
              </w:rPr>
              <w:t>4楼</w:t>
            </w:r>
            <w:r w:rsidRPr="0055032C">
              <w:rPr>
                <w:rFonts w:asciiTheme="minorEastAsia" w:hAnsiTheme="minorEastAsia" w:cs="Times New Roman" w:hint="eastAsia"/>
                <w:sz w:val="22"/>
              </w:rPr>
              <w:t>调漆、喷漆（水帘柜预处理）、流平、烘干、印刷、</w:t>
            </w:r>
            <w:proofErr w:type="gramStart"/>
            <w:r w:rsidRPr="0055032C">
              <w:rPr>
                <w:rFonts w:asciiTheme="minorEastAsia" w:hAnsiTheme="minorEastAsia" w:cs="Times New Roman" w:hint="eastAsia"/>
                <w:sz w:val="22"/>
              </w:rPr>
              <w:t>镭雕废气</w:t>
            </w:r>
            <w:proofErr w:type="gramEnd"/>
            <w:r w:rsidRPr="0055032C">
              <w:rPr>
                <w:rFonts w:asciiTheme="minorEastAsia" w:hAnsiTheme="minorEastAsia" w:cs="Times New Roman"/>
                <w:sz w:val="22"/>
              </w:rPr>
              <w:t>经密闭</w:t>
            </w:r>
            <w:r w:rsidRPr="0055032C">
              <w:rPr>
                <w:rFonts w:asciiTheme="minorEastAsia" w:hAnsiTheme="minorEastAsia" w:cs="Times New Roman" w:hint="eastAsia"/>
                <w:sz w:val="22"/>
              </w:rPr>
              <w:t>空间正压/负压</w:t>
            </w:r>
            <w:r w:rsidRPr="0055032C">
              <w:rPr>
                <w:rFonts w:asciiTheme="minorEastAsia" w:hAnsiTheme="minorEastAsia" w:cs="Times New Roman"/>
                <w:sz w:val="22"/>
              </w:rPr>
              <w:t>收集</w:t>
            </w:r>
            <w:r w:rsidRPr="0055032C">
              <w:rPr>
                <w:rFonts w:asciiTheme="minorEastAsia" w:hAnsiTheme="minorEastAsia" w:cs="Times New Roman" w:hint="eastAsia"/>
                <w:sz w:val="22"/>
              </w:rPr>
              <w:t>，一并进入</w:t>
            </w:r>
            <w:r w:rsidRPr="0055032C">
              <w:rPr>
                <w:rFonts w:asciiTheme="minorEastAsia" w:hAnsiTheme="minorEastAsia" w:cs="Times New Roman"/>
                <w:sz w:val="22"/>
              </w:rPr>
              <w:t>一套气旋塔+</w:t>
            </w:r>
            <w:r w:rsidRPr="0055032C">
              <w:rPr>
                <w:rFonts w:asciiTheme="minorEastAsia" w:hAnsiTheme="minorEastAsia" w:cs="Times New Roman" w:hint="eastAsia"/>
                <w:sz w:val="22"/>
              </w:rPr>
              <w:t>二</w:t>
            </w:r>
            <w:r w:rsidRPr="0055032C">
              <w:rPr>
                <w:rFonts w:asciiTheme="minorEastAsia" w:hAnsiTheme="minorEastAsia" w:cs="Times New Roman"/>
                <w:sz w:val="22"/>
              </w:rPr>
              <w:t>级活性炭吸附装置</w:t>
            </w:r>
            <w:r w:rsidRPr="0055032C">
              <w:rPr>
                <w:rFonts w:asciiTheme="minorEastAsia" w:hAnsiTheme="minorEastAsia" w:cs="Times New Roman" w:hint="eastAsia"/>
                <w:sz w:val="22"/>
              </w:rPr>
              <w:t>（TA002）</w:t>
            </w:r>
            <w:r w:rsidRPr="0055032C">
              <w:rPr>
                <w:rFonts w:asciiTheme="minorEastAsia" w:hAnsiTheme="minorEastAsia" w:cs="Times New Roman"/>
                <w:sz w:val="22"/>
              </w:rPr>
              <w:t>处理</w:t>
            </w:r>
            <w:r w:rsidRPr="0055032C">
              <w:rPr>
                <w:rFonts w:asciiTheme="minorEastAsia" w:hAnsiTheme="minorEastAsia" w:cs="Times New Roman" w:hint="eastAsia"/>
                <w:sz w:val="22"/>
              </w:rPr>
              <w:t>，</w:t>
            </w:r>
            <w:r w:rsidRPr="0055032C">
              <w:rPr>
                <w:rFonts w:asciiTheme="minorEastAsia" w:hAnsiTheme="minorEastAsia" w:cs="Times New Roman"/>
                <w:sz w:val="22"/>
              </w:rPr>
              <w:t>通过</w:t>
            </w:r>
            <w:r w:rsidRPr="0055032C">
              <w:rPr>
                <w:rFonts w:asciiTheme="minorEastAsia" w:hAnsiTheme="minorEastAsia" w:cs="Times New Roman" w:hint="eastAsia"/>
                <w:sz w:val="22"/>
              </w:rPr>
              <w:t>25m高的</w:t>
            </w:r>
            <w:r w:rsidRPr="0055032C">
              <w:rPr>
                <w:rFonts w:asciiTheme="minorEastAsia" w:hAnsiTheme="minorEastAsia" w:cs="Times New Roman"/>
                <w:sz w:val="22"/>
              </w:rPr>
              <w:t>排气筒</w:t>
            </w:r>
            <w:r w:rsidRPr="0055032C">
              <w:rPr>
                <w:rFonts w:asciiTheme="minorEastAsia" w:hAnsiTheme="minorEastAsia" w:cs="Times New Roman" w:hint="eastAsia"/>
                <w:sz w:val="22"/>
              </w:rPr>
              <w:t>（DA002）</w:t>
            </w:r>
            <w:r w:rsidRPr="0055032C">
              <w:rPr>
                <w:rFonts w:asciiTheme="minorEastAsia" w:hAnsiTheme="minorEastAsia" w:cs="Times New Roman"/>
                <w:sz w:val="22"/>
              </w:rPr>
              <w:t>排放</w:t>
            </w:r>
            <w:r w:rsidRPr="0055032C">
              <w:rPr>
                <w:rFonts w:asciiTheme="minorEastAsia" w:hAnsiTheme="minorEastAsia" w:cs="Times New Roman" w:hint="eastAsia"/>
                <w:sz w:val="22"/>
              </w:rPr>
              <w:t>；5</w:t>
            </w:r>
            <w:r w:rsidRPr="0055032C">
              <w:rPr>
                <w:rFonts w:asciiTheme="minorEastAsia" w:hAnsiTheme="minorEastAsia" w:cs="Times New Roman"/>
                <w:sz w:val="22"/>
              </w:rPr>
              <w:t>楼</w:t>
            </w:r>
            <w:r w:rsidRPr="0055032C">
              <w:rPr>
                <w:rFonts w:asciiTheme="minorEastAsia" w:hAnsiTheme="minorEastAsia" w:cs="Times New Roman" w:hint="eastAsia"/>
                <w:sz w:val="22"/>
              </w:rPr>
              <w:t>喷涂废气（水帘柜预处理）、烘干废气</w:t>
            </w:r>
            <w:r w:rsidRPr="0055032C">
              <w:rPr>
                <w:rFonts w:asciiTheme="minorEastAsia" w:hAnsiTheme="minorEastAsia" w:cs="Times New Roman"/>
                <w:sz w:val="22"/>
              </w:rPr>
              <w:t>经密闭</w:t>
            </w:r>
            <w:r w:rsidRPr="0055032C">
              <w:rPr>
                <w:rFonts w:asciiTheme="minorEastAsia" w:hAnsiTheme="minorEastAsia" w:cs="Times New Roman" w:hint="eastAsia"/>
                <w:sz w:val="22"/>
              </w:rPr>
              <w:t>空间负压</w:t>
            </w:r>
            <w:r w:rsidRPr="0055032C">
              <w:rPr>
                <w:rFonts w:asciiTheme="minorEastAsia" w:hAnsiTheme="minorEastAsia" w:cs="Times New Roman"/>
                <w:sz w:val="22"/>
              </w:rPr>
              <w:t>收集</w:t>
            </w:r>
            <w:r w:rsidRPr="0055032C">
              <w:rPr>
                <w:rFonts w:asciiTheme="minorEastAsia" w:hAnsiTheme="minorEastAsia" w:cs="Times New Roman" w:hint="eastAsia"/>
                <w:sz w:val="22"/>
              </w:rPr>
              <w:t>，一并进入</w:t>
            </w:r>
            <w:r w:rsidRPr="0055032C">
              <w:rPr>
                <w:rFonts w:asciiTheme="minorEastAsia" w:hAnsiTheme="minorEastAsia" w:cs="Times New Roman"/>
                <w:sz w:val="22"/>
              </w:rPr>
              <w:t>一套气旋塔+两级活性炭吸附废气处理装置</w:t>
            </w:r>
            <w:r w:rsidRPr="0055032C">
              <w:rPr>
                <w:rFonts w:asciiTheme="minorEastAsia" w:hAnsiTheme="minorEastAsia" w:cs="Times New Roman" w:hint="eastAsia"/>
                <w:sz w:val="22"/>
              </w:rPr>
              <w:t>（TA003）</w:t>
            </w:r>
            <w:r w:rsidRPr="0055032C">
              <w:rPr>
                <w:rFonts w:asciiTheme="minorEastAsia" w:hAnsiTheme="minorEastAsia" w:cs="Times New Roman"/>
                <w:sz w:val="22"/>
              </w:rPr>
              <w:t>处理</w:t>
            </w:r>
            <w:r w:rsidRPr="0055032C">
              <w:rPr>
                <w:rFonts w:asciiTheme="minorEastAsia" w:hAnsiTheme="minorEastAsia" w:cs="Times New Roman" w:hint="eastAsia"/>
                <w:sz w:val="22"/>
              </w:rPr>
              <w:t>，</w:t>
            </w:r>
            <w:r w:rsidRPr="0055032C">
              <w:rPr>
                <w:rFonts w:asciiTheme="minorEastAsia" w:hAnsiTheme="minorEastAsia" w:cs="Times New Roman"/>
                <w:sz w:val="22"/>
              </w:rPr>
              <w:t>通过</w:t>
            </w:r>
            <w:r w:rsidRPr="0055032C">
              <w:rPr>
                <w:rFonts w:asciiTheme="minorEastAsia" w:hAnsiTheme="minorEastAsia" w:cs="Times New Roman" w:hint="eastAsia"/>
                <w:sz w:val="22"/>
              </w:rPr>
              <w:t>25m高的</w:t>
            </w:r>
            <w:r w:rsidRPr="0055032C">
              <w:rPr>
                <w:rFonts w:asciiTheme="minorEastAsia" w:hAnsiTheme="minorEastAsia" w:cs="Times New Roman"/>
                <w:sz w:val="22"/>
              </w:rPr>
              <w:t>排气筒</w:t>
            </w:r>
            <w:r w:rsidRPr="0055032C">
              <w:rPr>
                <w:rFonts w:asciiTheme="minorEastAsia" w:hAnsiTheme="minorEastAsia" w:cs="Times New Roman" w:hint="eastAsia"/>
                <w:sz w:val="22"/>
              </w:rPr>
              <w:t>（DA003）</w:t>
            </w:r>
            <w:r w:rsidRPr="0055032C">
              <w:rPr>
                <w:rFonts w:asciiTheme="minorEastAsia" w:hAnsiTheme="minorEastAsia" w:cs="Times New Roman"/>
                <w:sz w:val="22"/>
              </w:rPr>
              <w:t>排放</w:t>
            </w:r>
            <w:r w:rsidRPr="0055032C">
              <w:rPr>
                <w:rFonts w:asciiTheme="minorEastAsia" w:hAnsiTheme="minorEastAsia" w:cs="Times New Roman" w:hint="eastAsia"/>
                <w:sz w:val="22"/>
              </w:rPr>
              <w:t>。</w:t>
            </w:r>
          </w:p>
          <w:p w:rsidR="0055032C" w:rsidRPr="0055032C" w:rsidRDefault="0055032C" w:rsidP="002417F6">
            <w:pPr>
              <w:widowControl/>
              <w:textAlignment w:val="center"/>
              <w:rPr>
                <w:rFonts w:asciiTheme="minorEastAsia" w:hAnsiTheme="minorEastAsia" w:cs="宋体"/>
                <w:kern w:val="0"/>
                <w:sz w:val="22"/>
              </w:rPr>
            </w:pPr>
            <w:r w:rsidRPr="0055032C">
              <w:rPr>
                <w:rFonts w:asciiTheme="minorEastAsia" w:hAnsiTheme="minorEastAsia" w:cs="宋体" w:hint="eastAsia"/>
                <w:kern w:val="0"/>
                <w:sz w:val="22"/>
              </w:rPr>
              <w:t>噪声：合理布局，选用低噪音设备，采取有效消声、隔声、防振措施，确保厂界噪声达《工业企业厂界环境噪声排放标准》（GB12348-2008）3类标准。</w:t>
            </w:r>
          </w:p>
          <w:p w:rsidR="0055032C" w:rsidRPr="0055032C" w:rsidRDefault="0055032C" w:rsidP="002417F6">
            <w:pPr>
              <w:widowControl/>
              <w:textAlignment w:val="center"/>
              <w:rPr>
                <w:rFonts w:asciiTheme="minorEastAsia" w:hAnsiTheme="minorEastAsia" w:cs="宋体"/>
                <w:kern w:val="0"/>
                <w:sz w:val="22"/>
              </w:rPr>
            </w:pPr>
            <w:r w:rsidRPr="0055032C">
              <w:rPr>
                <w:rFonts w:asciiTheme="minorEastAsia" w:hAnsiTheme="minorEastAsia" w:cs="宋体" w:hint="eastAsia"/>
                <w:kern w:val="0"/>
                <w:sz w:val="22"/>
              </w:rPr>
              <w:t>本项目以车间为边界设置100米卫生防护距离的要求。</w:t>
            </w:r>
          </w:p>
          <w:p w:rsidR="0055032C" w:rsidRPr="0055032C" w:rsidRDefault="0055032C" w:rsidP="002417F6">
            <w:pPr>
              <w:widowControl/>
              <w:textAlignment w:val="center"/>
              <w:rPr>
                <w:rFonts w:asciiTheme="minorEastAsia" w:hAnsiTheme="minorEastAsia" w:cs="宋体"/>
                <w:kern w:val="0"/>
                <w:sz w:val="22"/>
              </w:rPr>
            </w:pPr>
            <w:r w:rsidRPr="0055032C">
              <w:rPr>
                <w:rFonts w:asciiTheme="minorEastAsia" w:hAnsiTheme="minorEastAsia" w:cs="宋体" w:hint="eastAsia"/>
                <w:kern w:val="0"/>
                <w:sz w:val="22"/>
              </w:rPr>
              <w:t>固废：严格按照《危险废物贮存污染控制标准》（GB18597-2023）要求规范建设危险废物贮存场所，</w:t>
            </w:r>
            <w:r w:rsidRPr="0055032C">
              <w:rPr>
                <w:rFonts w:asciiTheme="minorEastAsia" w:hAnsiTheme="minorEastAsia" w:cs="Times New Roman" w:hint="eastAsia"/>
                <w:sz w:val="22"/>
              </w:rPr>
              <w:t>漆渣、水帘废液、废活性炭、</w:t>
            </w:r>
            <w:r w:rsidRPr="0055032C">
              <w:rPr>
                <w:rFonts w:asciiTheme="minorEastAsia" w:hAnsiTheme="minorEastAsia" w:cs="Times New Roman" w:hint="eastAsia"/>
                <w:sz w:val="22"/>
              </w:rPr>
              <w:lastRenderedPageBreak/>
              <w:t>废包装桶、</w:t>
            </w:r>
            <w:proofErr w:type="gramStart"/>
            <w:r w:rsidRPr="0055032C">
              <w:rPr>
                <w:rFonts w:asciiTheme="minorEastAsia" w:hAnsiTheme="minorEastAsia" w:cs="Times New Roman" w:hint="eastAsia"/>
                <w:sz w:val="22"/>
              </w:rPr>
              <w:t>废洗枪液</w:t>
            </w:r>
            <w:proofErr w:type="gramEnd"/>
            <w:r w:rsidRPr="0055032C">
              <w:rPr>
                <w:rFonts w:asciiTheme="minorEastAsia" w:hAnsiTheme="minorEastAsia" w:cs="Times New Roman" w:hint="eastAsia"/>
                <w:sz w:val="22"/>
              </w:rPr>
              <w:t>、喷淋废液</w:t>
            </w:r>
            <w:r w:rsidRPr="0055032C">
              <w:rPr>
                <w:rFonts w:asciiTheme="minorEastAsia" w:hAnsiTheme="minorEastAsia" w:cs="宋体" w:hint="eastAsia"/>
                <w:kern w:val="0"/>
                <w:sz w:val="22"/>
              </w:rPr>
              <w:t>等各类危险废物应委托有资质单位处置，并执行危险废物转移审批手续。妥善处置或综合利用其它各类一般工业固体废弃物，固体废弃物零排放。</w:t>
            </w:r>
          </w:p>
        </w:tc>
        <w:tc>
          <w:tcPr>
            <w:tcW w:w="787" w:type="dxa"/>
            <w:vAlign w:val="center"/>
          </w:tcPr>
          <w:p w:rsidR="0055032C" w:rsidRPr="0055032C" w:rsidRDefault="0055032C" w:rsidP="002417F6">
            <w:pPr>
              <w:widowControl/>
              <w:jc w:val="left"/>
              <w:textAlignment w:val="center"/>
              <w:rPr>
                <w:rFonts w:asciiTheme="minorEastAsia" w:hAnsiTheme="minorEastAsia" w:cs="宋体"/>
                <w:bCs/>
                <w:color w:val="000000"/>
                <w:kern w:val="0"/>
                <w:sz w:val="22"/>
              </w:rPr>
            </w:pPr>
          </w:p>
        </w:tc>
      </w:tr>
    </w:tbl>
    <w:p w:rsidR="0055032C" w:rsidRPr="005F1EF4" w:rsidRDefault="0055032C" w:rsidP="0055032C"/>
    <w:p w:rsidR="0055032C" w:rsidRPr="00CC4B0E" w:rsidRDefault="0055032C" w:rsidP="0055032C"/>
    <w:p w:rsidR="004762FA" w:rsidRPr="0055032C" w:rsidRDefault="004762FA"/>
    <w:sectPr w:rsidR="004762FA" w:rsidRPr="0055032C" w:rsidSect="000842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032C"/>
    <w:rsid w:val="004762FA"/>
    <w:rsid w:val="005503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3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ds</dc:creator>
  <cp:lastModifiedBy>v ds</cp:lastModifiedBy>
  <cp:revision>1</cp:revision>
  <dcterms:created xsi:type="dcterms:W3CDTF">2024-04-12T06:46:00Z</dcterms:created>
  <dcterms:modified xsi:type="dcterms:W3CDTF">2024-04-12T06:53:00Z</dcterms:modified>
</cp:coreProperties>
</file>